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9638" w:val="right"/>
        </w:tabs>
        <w:spacing w:after="160" w:line="269" w:lineRule="auto"/>
      </w:pPr>
      <w:r>
        <w:rPr>
          <w:rFonts w:ascii="Arial" w:hAnsi="Arial"/>
          <w:b w:val="0"/>
          <w:color w:val="000000"/>
          <w:sz w:val="18"/>
        </w:rPr>
      </w:r>
      <w:r>
        <w:rPr>
          <w:rFonts w:ascii="Arial" w:hAnsi="Arial"/>
          <w:b/>
          <w:color w:val="000000"/>
          <w:sz w:val="18"/>
        </w:rPr>
        <w:t>COUNTERPARTY PROFILE</w:t>
      </w:r>
      <w:r>
        <w:rPr>
          <w:rFonts w:ascii="Arial" w:hAnsi="Arial"/>
          <w:b w:val="0"/>
          <w:color w:val="000000"/>
          <w:sz w:val="18"/>
        </w:rPr>
        <w:tab/>
        <w:t>24 OCTOBER 2026</w:t>
      </w:r>
    </w:p>
    <w:p>
      <w:pPr>
        <w:pStyle w:val="Title"/>
      </w:pPr>
      <w:r>
        <w:rPr>
          <w:rFonts w:ascii="Georgia" w:hAnsi="Georgia"/>
          <w:b w:val="0"/>
          <w:color w:val="000000"/>
          <w:sz w:val="52"/>
        </w:rPr>
        <w:t>Business Information for Due Diligence</w:t>
      </w:r>
    </w:p>
    <w:p>
      <w:pPr>
        <w:spacing w:after="100" w:line="269" w:lineRule="auto"/>
      </w:pPr>
      <w:r>
        <w:rPr>
          <w:rFonts w:ascii="Arial" w:hAnsi="Arial"/>
          <w:b w:val="0"/>
          <w:color w:val="000000"/>
          <w:sz w:val="21"/>
        </w:rPr>
        <w:t>Dalvori Energy is developing Russian-origin LPG supply projects. This profile presents our business activities, the registration and banking details of the contracting party, and contact information for commercial discussions.</w:t>
      </w:r>
    </w:p>
    <w:p>
      <w:pPr>
        <w:pStyle w:val="Heading1"/>
      </w:pPr>
      <w:r>
        <w:t>01 Registration and Identity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115" w:type="dxa"/>
          <w:right w:w="115" w:type="dxa"/>
        </w:tblCellMar>
      </w:tblPr>
      <w:tblGrid>
        <w:gridCol w:w="2891"/>
        <w:gridCol w:w="6746"/>
      </w:tblGrid>
      <w:tr>
        <w:trPr>
          <w:cantSplit/>
          <w:tblHeader/>
        </w:trPr>
        <w:tc>
          <w:tcPr>
            <w:tcW w:type="dxa" w:w="2891"/>
            <w:vAlign w:val="center"/>
            <w:shd w:val="clear" w:fill="102232"/>
          </w:tcPr>
          <w:p>
            <w:pPr>
              <w:spacing w:after="0" w:line="252" w:lineRule="auto"/>
            </w:pPr>
            <w:r>
              <w:rPr>
                <w:rFonts w:ascii="Arial" w:hAnsi="Arial"/>
                <w:b/>
                <w:color w:val="FFFFFF"/>
                <w:sz w:val="19"/>
              </w:rPr>
              <w:t>Field</w:t>
            </w:r>
          </w:p>
        </w:tc>
        <w:tc>
          <w:tcPr>
            <w:tcW w:type="dxa" w:w="6746"/>
            <w:vAlign w:val="center"/>
            <w:shd w:val="clear" w:fill="102232"/>
          </w:tcPr>
          <w:p>
            <w:pPr>
              <w:spacing w:after="0" w:line="252" w:lineRule="auto"/>
            </w:pPr>
            <w:r>
              <w:rPr>
                <w:rFonts w:ascii="Arial" w:hAnsi="Arial"/>
                <w:b/>
                <w:color w:val="FFFFFF"/>
                <w:sz w:val="20"/>
              </w:rPr>
              <w:t>Details</w:t>
            </w:r>
          </w:p>
        </w:tc>
      </w:tr>
      <w:tr>
        <w:trPr>
          <w:cantSplit/>
        </w:trPr>
        <w:tc>
          <w:tcPr>
            <w:tcW w:type="dxa" w:w="2891"/>
            <w:vAlign w:val="center"/>
            <w:shd w:val="clear" w:fill="FFFFFF"/>
          </w:tcPr>
          <w:p>
            <w:pPr>
              <w:spacing w:after="0" w:line="252" w:lineRule="auto"/>
            </w:pPr>
            <w:r>
              <w:rPr>
                <w:rFonts w:ascii="Arial" w:hAnsi="Arial"/>
                <w:b w:val="0"/>
                <w:color w:val="000000"/>
                <w:sz w:val="19"/>
              </w:rPr>
              <w:t>Business name</w:t>
            </w:r>
          </w:p>
        </w:tc>
        <w:tc>
          <w:tcPr>
            <w:tcW w:type="dxa" w:w="6746"/>
            <w:vAlign w:val="center"/>
            <w:shd w:val="clear" w:fill="FFFFFF"/>
          </w:tcPr>
          <w:p>
            <w:pPr>
              <w:spacing w:after="0" w:line="252" w:lineRule="auto"/>
            </w:pPr>
            <w:r>
              <w:rPr>
                <w:rFonts w:ascii="Arial" w:hAnsi="Arial"/>
                <w:b w:val="0"/>
                <w:color w:val="000000"/>
                <w:sz w:val="20"/>
              </w:rPr>
              <w:t>Dalvori Energy</w:t>
            </w:r>
          </w:p>
        </w:tc>
      </w:tr>
      <w:tr>
        <w:trPr>
          <w:cantSplit/>
        </w:trPr>
        <w:tc>
          <w:tcPr>
            <w:tcW w:type="dxa" w:w="2891"/>
            <w:vAlign w:val="center"/>
            <w:shd w:val="clear" w:fill="F5F2EC"/>
          </w:tcPr>
          <w:p>
            <w:pPr>
              <w:spacing w:after="0" w:line="252" w:lineRule="auto"/>
            </w:pPr>
            <w:r>
              <w:rPr>
                <w:rFonts w:ascii="Arial" w:hAnsi="Arial"/>
                <w:b w:val="0"/>
                <w:color w:val="000000"/>
                <w:sz w:val="19"/>
              </w:rPr>
              <w:t>Contracting party</w:t>
            </w:r>
          </w:p>
        </w:tc>
        <w:tc>
          <w:tcPr>
            <w:tcW w:type="dxa" w:w="6746"/>
            <w:vAlign w:val="center"/>
            <w:shd w:val="clear" w:fill="F5F2EC"/>
          </w:tcPr>
          <w:p>
            <w:pPr>
              <w:spacing w:after="0" w:line="252" w:lineRule="auto"/>
            </w:pPr>
            <w:r>
              <w:rPr>
                <w:rFonts w:ascii="Arial" w:hAnsi="Arial"/>
                <w:b w:val="0"/>
                <w:color w:val="000000"/>
                <w:sz w:val="20"/>
              </w:rPr>
              <w:t>Individual Entrepreneur Daniil Evgenievich Sorokin</w:t>
            </w:r>
          </w:p>
        </w:tc>
      </w:tr>
      <w:tr>
        <w:trPr>
          <w:cantSplit/>
        </w:trPr>
        <w:tc>
          <w:tcPr>
            <w:tcW w:type="dxa" w:w="2891"/>
            <w:vAlign w:val="center"/>
            <w:shd w:val="clear" w:fill="FFFFFF"/>
          </w:tcPr>
          <w:p>
            <w:pPr>
              <w:spacing w:after="0" w:line="252" w:lineRule="auto"/>
            </w:pPr>
            <w:r>
              <w:rPr>
                <w:rFonts w:ascii="Arial" w:hAnsi="Arial"/>
                <w:b w:val="0"/>
                <w:color w:val="000000"/>
                <w:sz w:val="19"/>
              </w:rPr>
              <w:t>Country of registration</w:t>
            </w:r>
          </w:p>
        </w:tc>
        <w:tc>
          <w:tcPr>
            <w:tcW w:type="dxa" w:w="6746"/>
            <w:vAlign w:val="center"/>
            <w:shd w:val="clear" w:fill="FFFFFF"/>
          </w:tcPr>
          <w:p>
            <w:pPr>
              <w:spacing w:after="0" w:line="252" w:lineRule="auto"/>
            </w:pPr>
            <w:r>
              <w:rPr>
                <w:rFonts w:ascii="Arial" w:hAnsi="Arial"/>
                <w:b w:val="0"/>
                <w:color w:val="000000"/>
                <w:sz w:val="20"/>
              </w:rPr>
              <w:t>Russian Federation</w:t>
            </w:r>
          </w:p>
        </w:tc>
      </w:tr>
      <w:tr>
        <w:trPr>
          <w:cantSplit/>
        </w:trPr>
        <w:tc>
          <w:tcPr>
            <w:tcW w:type="dxa" w:w="2891"/>
            <w:vAlign w:val="center"/>
            <w:shd w:val="clear" w:fill="F5F2EC"/>
          </w:tcPr>
          <w:p>
            <w:pPr>
              <w:spacing w:after="0" w:line="252" w:lineRule="auto"/>
            </w:pPr>
            <w:r>
              <w:rPr>
                <w:rFonts w:ascii="Arial" w:hAnsi="Arial"/>
                <w:b w:val="0"/>
                <w:color w:val="000000"/>
                <w:sz w:val="19"/>
              </w:rPr>
              <w:t>Date of registration</w:t>
            </w:r>
          </w:p>
        </w:tc>
        <w:tc>
          <w:tcPr>
            <w:tcW w:type="dxa" w:w="6746"/>
            <w:vAlign w:val="center"/>
            <w:shd w:val="clear" w:fill="F5F2EC"/>
          </w:tcPr>
          <w:p>
            <w:pPr>
              <w:spacing w:after="0" w:line="252" w:lineRule="auto"/>
            </w:pPr>
            <w:r>
              <w:rPr>
                <w:rFonts w:ascii="Arial" w:hAnsi="Arial"/>
                <w:b w:val="0"/>
                <w:color w:val="000000"/>
                <w:sz w:val="20"/>
              </w:rPr>
              <w:t>3 July 2026</w:t>
            </w:r>
          </w:p>
        </w:tc>
      </w:tr>
      <w:tr>
        <w:trPr>
          <w:cantSplit/>
        </w:trPr>
        <w:tc>
          <w:tcPr>
            <w:tcW w:type="dxa" w:w="2891"/>
            <w:vAlign w:val="center"/>
            <w:shd w:val="clear" w:fill="FFFFFF"/>
          </w:tcPr>
          <w:p>
            <w:pPr>
              <w:spacing w:after="0" w:line="252" w:lineRule="auto"/>
            </w:pPr>
            <w:r>
              <w:rPr>
                <w:rFonts w:ascii="Arial" w:hAnsi="Arial"/>
                <w:b w:val="0"/>
                <w:color w:val="000000"/>
                <w:sz w:val="19"/>
              </w:rPr>
              <w:t>Tax ID (INN)</w:t>
            </w:r>
          </w:p>
        </w:tc>
        <w:tc>
          <w:tcPr>
            <w:tcW w:type="dxa" w:w="6746"/>
            <w:vAlign w:val="center"/>
            <w:shd w:val="clear" w:fill="FFFFFF"/>
          </w:tcPr>
          <w:p>
            <w:pPr>
              <w:spacing w:after="0" w:line="252" w:lineRule="auto"/>
            </w:pPr>
            <w:r>
              <w:rPr>
                <w:rFonts w:ascii="Arial" w:hAnsi="Arial"/>
                <w:b w:val="0"/>
                <w:color w:val="000000"/>
                <w:sz w:val="20"/>
              </w:rPr>
              <w:t>504039600378</w:t>
            </w:r>
          </w:p>
        </w:tc>
      </w:tr>
      <w:tr>
        <w:trPr>
          <w:cantSplit/>
        </w:trPr>
        <w:tc>
          <w:tcPr>
            <w:tcW w:type="dxa" w:w="2891"/>
            <w:vAlign w:val="center"/>
            <w:shd w:val="clear" w:fill="F5F2EC"/>
          </w:tcPr>
          <w:p>
            <w:pPr>
              <w:spacing w:after="0" w:line="252" w:lineRule="auto"/>
            </w:pPr>
            <w:r>
              <w:rPr>
                <w:rFonts w:ascii="Arial" w:hAnsi="Arial"/>
                <w:b w:val="0"/>
                <w:color w:val="000000"/>
                <w:sz w:val="19"/>
              </w:rPr>
              <w:t>State Registration Number (OGRNIP)</w:t>
            </w:r>
          </w:p>
        </w:tc>
        <w:tc>
          <w:tcPr>
            <w:tcW w:type="dxa" w:w="6746"/>
            <w:vAlign w:val="center"/>
            <w:shd w:val="clear" w:fill="F5F2EC"/>
          </w:tcPr>
          <w:p>
            <w:pPr>
              <w:spacing w:after="0" w:line="252" w:lineRule="auto"/>
            </w:pPr>
            <w:r>
              <w:rPr>
                <w:rFonts w:ascii="Arial" w:hAnsi="Arial"/>
                <w:b w:val="0"/>
                <w:color w:val="000000"/>
                <w:sz w:val="20"/>
              </w:rPr>
              <w:t>326508100391842</w:t>
            </w:r>
          </w:p>
        </w:tc>
      </w:tr>
      <w:tr>
        <w:trPr>
          <w:cantSplit/>
        </w:trPr>
        <w:tc>
          <w:tcPr>
            <w:tcW w:type="dxa" w:w="2891"/>
            <w:vAlign w:val="center"/>
            <w:shd w:val="clear" w:fill="FFFFFF"/>
          </w:tcPr>
          <w:p>
            <w:pPr>
              <w:spacing w:after="0" w:line="252" w:lineRule="auto"/>
            </w:pPr>
            <w:r>
              <w:rPr>
                <w:rFonts w:ascii="Arial" w:hAnsi="Arial"/>
                <w:b w:val="0"/>
                <w:color w:val="000000"/>
                <w:sz w:val="19"/>
              </w:rPr>
              <w:t>Registration authority</w:t>
            </w:r>
          </w:p>
        </w:tc>
        <w:tc>
          <w:tcPr>
            <w:tcW w:type="dxa" w:w="6746"/>
            <w:vAlign w:val="center"/>
            <w:shd w:val="clear" w:fill="FFFFFF"/>
          </w:tcPr>
          <w:p>
            <w:pPr>
              <w:spacing w:after="0" w:line="252" w:lineRule="auto"/>
            </w:pPr>
            <w:r>
              <w:rPr>
                <w:rFonts w:ascii="Arial" w:hAnsi="Arial"/>
                <w:b w:val="0"/>
                <w:color w:val="000000"/>
                <w:sz w:val="20"/>
              </w:rPr>
              <w:t>Interdistrict Inspectorate of the Federal Tax Service No. 23 for the Moscow Region</w:t>
            </w:r>
          </w:p>
        </w:tc>
      </w:tr>
      <w:tr>
        <w:trPr>
          <w:cantSplit/>
        </w:trPr>
        <w:tc>
          <w:tcPr>
            <w:tcW w:type="dxa" w:w="2891"/>
            <w:vAlign w:val="center"/>
            <w:shd w:val="clear" w:fill="F5F2EC"/>
          </w:tcPr>
          <w:p>
            <w:pPr>
              <w:spacing w:after="0" w:line="252" w:lineRule="auto"/>
            </w:pPr>
            <w:r>
              <w:rPr>
                <w:rFonts w:ascii="Arial" w:hAnsi="Arial"/>
                <w:b w:val="0"/>
                <w:color w:val="000000"/>
                <w:sz w:val="19"/>
              </w:rPr>
              <w:t>Tax office</w:t>
            </w:r>
          </w:p>
        </w:tc>
        <w:tc>
          <w:tcPr>
            <w:tcW w:type="dxa" w:w="6746"/>
            <w:vAlign w:val="center"/>
            <w:shd w:val="clear" w:fill="F5F2EC"/>
          </w:tcPr>
          <w:p>
            <w:pPr>
              <w:spacing w:after="0" w:line="252" w:lineRule="auto"/>
            </w:pPr>
            <w:r>
              <w:rPr>
                <w:rFonts w:ascii="Arial" w:hAnsi="Arial"/>
                <w:b w:val="0"/>
                <w:color w:val="000000"/>
                <w:sz w:val="20"/>
              </w:rPr>
              <w:t>Interdistrict Inspectorate of the Federal Tax Service No. 7 for the Moscow Region</w:t>
            </w:r>
          </w:p>
        </w:tc>
      </w:tr>
    </w:tbl>
    <w:p>
      <w:pPr>
        <w:spacing w:after="60" w:before="60" w:line="20" w:lineRule="exact"/>
      </w:pPr>
      <w:r>
        <w:rPr>
          <w:rFonts w:ascii="Arial" w:hAnsi="Arial"/>
          <w:b w:val="0"/>
          <w:color w:val="000000"/>
          <w:sz w:val="2"/>
        </w:rPr>
      </w:r>
    </w:p>
    <w:p>
      <w:pPr>
        <w:pStyle w:val="Heading1"/>
      </w:pPr>
      <w:r>
        <w:t>02 Banking Details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115" w:type="dxa"/>
          <w:right w:w="115" w:type="dxa"/>
        </w:tblCellMar>
      </w:tblPr>
      <w:tblGrid>
        <w:gridCol w:w="2891"/>
        <w:gridCol w:w="6746"/>
      </w:tblGrid>
      <w:tr>
        <w:trPr>
          <w:cantSplit/>
          <w:tblHeader/>
        </w:trPr>
        <w:tc>
          <w:tcPr>
            <w:tcW w:type="dxa" w:w="2891"/>
            <w:vAlign w:val="center"/>
            <w:shd w:val="clear" w:fill="102232"/>
          </w:tcPr>
          <w:p>
            <w:pPr>
              <w:spacing w:after="0" w:line="252" w:lineRule="auto"/>
            </w:pPr>
            <w:r>
              <w:rPr>
                <w:rFonts w:ascii="Arial" w:hAnsi="Arial"/>
                <w:b/>
                <w:color w:val="FFFFFF"/>
                <w:sz w:val="19"/>
              </w:rPr>
              <w:t>Field</w:t>
            </w:r>
          </w:p>
        </w:tc>
        <w:tc>
          <w:tcPr>
            <w:tcW w:type="dxa" w:w="6746"/>
            <w:vAlign w:val="center"/>
            <w:shd w:val="clear" w:fill="102232"/>
          </w:tcPr>
          <w:p>
            <w:pPr>
              <w:spacing w:after="0" w:line="252" w:lineRule="auto"/>
            </w:pPr>
            <w:r>
              <w:rPr>
                <w:rFonts w:ascii="Arial" w:hAnsi="Arial"/>
                <w:b/>
                <w:color w:val="FFFFFF"/>
                <w:sz w:val="20"/>
              </w:rPr>
              <w:t>Details</w:t>
            </w:r>
          </w:p>
        </w:tc>
      </w:tr>
      <w:tr>
        <w:trPr>
          <w:cantSplit/>
        </w:trPr>
        <w:tc>
          <w:tcPr>
            <w:tcW w:type="dxa" w:w="2891"/>
            <w:vAlign w:val="center"/>
            <w:shd w:val="clear" w:fill="FFFFFF"/>
          </w:tcPr>
          <w:p>
            <w:pPr>
              <w:spacing w:after="0" w:line="252" w:lineRule="auto"/>
            </w:pPr>
            <w:r>
              <w:rPr>
                <w:rFonts w:ascii="Arial" w:hAnsi="Arial"/>
                <w:b w:val="0"/>
                <w:color w:val="000000"/>
                <w:sz w:val="19"/>
              </w:rPr>
              <w:t>Account holder</w:t>
            </w:r>
          </w:p>
        </w:tc>
        <w:tc>
          <w:tcPr>
            <w:tcW w:type="dxa" w:w="6746"/>
            <w:vAlign w:val="center"/>
            <w:shd w:val="clear" w:fill="FFFFFF"/>
          </w:tcPr>
          <w:p>
            <w:pPr>
              <w:spacing w:after="0" w:line="252" w:lineRule="auto"/>
            </w:pPr>
            <w:r>
              <w:rPr>
                <w:rFonts w:ascii="Arial" w:hAnsi="Arial"/>
                <w:b w:val="0"/>
                <w:color w:val="000000"/>
                <w:sz w:val="20"/>
              </w:rPr>
              <w:t>The contracting party identified in Section 01</w:t>
            </w:r>
          </w:p>
        </w:tc>
      </w:tr>
      <w:tr>
        <w:trPr>
          <w:cantSplit/>
        </w:trPr>
        <w:tc>
          <w:tcPr>
            <w:tcW w:type="dxa" w:w="2891"/>
            <w:vAlign w:val="center"/>
            <w:shd w:val="clear" w:fill="F5F2EC"/>
          </w:tcPr>
          <w:p>
            <w:pPr>
              <w:spacing w:after="0" w:line="252" w:lineRule="auto"/>
            </w:pPr>
            <w:r>
              <w:rPr>
                <w:rFonts w:ascii="Arial" w:hAnsi="Arial"/>
                <w:b w:val="0"/>
                <w:color w:val="000000"/>
                <w:sz w:val="19"/>
              </w:rPr>
              <w:t>Bank</w:t>
            </w:r>
          </w:p>
        </w:tc>
        <w:tc>
          <w:tcPr>
            <w:tcW w:type="dxa" w:w="6746"/>
            <w:vAlign w:val="center"/>
            <w:shd w:val="clear" w:fill="F5F2EC"/>
          </w:tcPr>
          <w:p>
            <w:pPr>
              <w:spacing w:after="0" w:line="252" w:lineRule="auto"/>
            </w:pPr>
            <w:r>
              <w:rPr>
                <w:rFonts w:ascii="Arial" w:hAnsi="Arial"/>
                <w:b w:val="0"/>
                <w:color w:val="000000"/>
                <w:sz w:val="20"/>
              </w:rPr>
              <w:t>Sberbank PJSC (ПАО Сбербанк)</w:t>
            </w:r>
          </w:p>
        </w:tc>
      </w:tr>
      <w:tr>
        <w:trPr>
          <w:cantSplit/>
        </w:trPr>
        <w:tc>
          <w:tcPr>
            <w:tcW w:type="dxa" w:w="2891"/>
            <w:vAlign w:val="center"/>
            <w:shd w:val="clear" w:fill="FFFFFF"/>
          </w:tcPr>
          <w:p>
            <w:pPr>
              <w:spacing w:after="0" w:line="252" w:lineRule="auto"/>
            </w:pPr>
            <w:r>
              <w:rPr>
                <w:rFonts w:ascii="Arial" w:hAnsi="Arial"/>
                <w:b w:val="0"/>
                <w:color w:val="000000"/>
                <w:sz w:val="19"/>
              </w:rPr>
              <w:t>Account number</w:t>
            </w:r>
          </w:p>
        </w:tc>
        <w:tc>
          <w:tcPr>
            <w:tcW w:type="dxa" w:w="6746"/>
            <w:vAlign w:val="center"/>
            <w:shd w:val="clear" w:fill="FFFFFF"/>
          </w:tcPr>
          <w:p>
            <w:pPr>
              <w:spacing w:after="0" w:line="252" w:lineRule="auto"/>
            </w:pPr>
            <w:r>
              <w:rPr>
                <w:rFonts w:ascii="Arial" w:hAnsi="Arial"/>
                <w:b w:val="0"/>
                <w:color w:val="000000"/>
                <w:sz w:val="20"/>
              </w:rPr>
              <w:t>40802810240070054905</w:t>
            </w:r>
          </w:p>
        </w:tc>
      </w:tr>
      <w:tr>
        <w:trPr>
          <w:cantSplit/>
        </w:trPr>
        <w:tc>
          <w:tcPr>
            <w:tcW w:type="dxa" w:w="2891"/>
            <w:vAlign w:val="center"/>
            <w:shd w:val="clear" w:fill="F5F2EC"/>
          </w:tcPr>
          <w:p>
            <w:pPr>
              <w:spacing w:after="0" w:line="252" w:lineRule="auto"/>
            </w:pPr>
            <w:r>
              <w:rPr>
                <w:rFonts w:ascii="Arial" w:hAnsi="Arial"/>
                <w:b w:val="0"/>
                <w:color w:val="000000"/>
                <w:sz w:val="19"/>
              </w:rPr>
              <w:t>Russian domestic bank code BIK</w:t>
            </w:r>
          </w:p>
        </w:tc>
        <w:tc>
          <w:tcPr>
            <w:tcW w:type="dxa" w:w="6746"/>
            <w:vAlign w:val="center"/>
            <w:shd w:val="clear" w:fill="F5F2EC"/>
          </w:tcPr>
          <w:p>
            <w:pPr>
              <w:spacing w:after="0" w:line="252" w:lineRule="auto"/>
            </w:pPr>
            <w:r>
              <w:rPr>
                <w:rFonts w:ascii="Arial" w:hAnsi="Arial"/>
                <w:b w:val="0"/>
                <w:color w:val="000000"/>
                <w:sz w:val="20"/>
              </w:rPr>
              <w:t>044525225</w:t>
            </w:r>
          </w:p>
        </w:tc>
      </w:tr>
      <w:tr>
        <w:trPr>
          <w:cantSplit/>
        </w:trPr>
        <w:tc>
          <w:tcPr>
            <w:tcW w:type="dxa" w:w="2891"/>
            <w:vAlign w:val="center"/>
            <w:shd w:val="clear" w:fill="FFFFFF"/>
          </w:tcPr>
          <w:p>
            <w:pPr>
              <w:spacing w:after="0" w:line="252" w:lineRule="auto"/>
            </w:pPr>
            <w:r>
              <w:rPr>
                <w:rFonts w:ascii="Arial" w:hAnsi="Arial"/>
                <w:b w:val="0"/>
                <w:color w:val="000000"/>
                <w:sz w:val="19"/>
              </w:rPr>
              <w:t>Bank correspondent account</w:t>
            </w:r>
          </w:p>
        </w:tc>
        <w:tc>
          <w:tcPr>
            <w:tcW w:type="dxa" w:w="6746"/>
            <w:vAlign w:val="center"/>
            <w:shd w:val="clear" w:fill="FFFFFF"/>
          </w:tcPr>
          <w:p>
            <w:pPr>
              <w:spacing w:after="0" w:line="252" w:lineRule="auto"/>
            </w:pPr>
            <w:r>
              <w:rPr>
                <w:rFonts w:ascii="Arial" w:hAnsi="Arial"/>
                <w:b w:val="0"/>
                <w:color w:val="000000"/>
                <w:sz w:val="20"/>
              </w:rPr>
              <w:t>30101810400000000225</w:t>
            </w:r>
          </w:p>
        </w:tc>
      </w:tr>
      <w:tr>
        <w:trPr>
          <w:cantSplit/>
        </w:trPr>
        <w:tc>
          <w:tcPr>
            <w:tcW w:type="dxa" w:w="2891"/>
            <w:vAlign w:val="center"/>
            <w:shd w:val="clear" w:fill="F5F2EC"/>
          </w:tcPr>
          <w:p>
            <w:pPr>
              <w:spacing w:after="0" w:line="252" w:lineRule="auto"/>
            </w:pPr>
            <w:r>
              <w:rPr>
                <w:rFonts w:ascii="Arial" w:hAnsi="Arial"/>
                <w:b w:val="0"/>
                <w:color w:val="000000"/>
                <w:sz w:val="19"/>
              </w:rPr>
              <w:t>Bank INN / KPP</w:t>
            </w:r>
          </w:p>
        </w:tc>
        <w:tc>
          <w:tcPr>
            <w:tcW w:type="dxa" w:w="6746"/>
            <w:vAlign w:val="center"/>
            <w:shd w:val="clear" w:fill="F5F2EC"/>
          </w:tcPr>
          <w:p>
            <w:pPr>
              <w:spacing w:after="0" w:line="252" w:lineRule="auto"/>
            </w:pPr>
            <w:r>
              <w:rPr>
                <w:rFonts w:ascii="Arial" w:hAnsi="Arial"/>
                <w:b w:val="0"/>
                <w:color w:val="000000"/>
                <w:sz w:val="20"/>
              </w:rPr>
              <w:t>7707083893 / 773643002</w:t>
            </w:r>
          </w:p>
        </w:tc>
      </w:tr>
    </w:tbl>
    <w:p>
      <w:pPr>
        <w:spacing w:after="60" w:before="60" w:line="20" w:lineRule="exact"/>
      </w:pPr>
      <w:r>
        <w:rPr>
          <w:rFonts w:ascii="Arial" w:hAnsi="Arial"/>
          <w:b w:val="0"/>
          <w:color w:val="000000"/>
          <w:sz w:val="2"/>
        </w:rPr>
      </w:r>
    </w:p>
    <w:p>
      <w:pPr>
        <w:spacing w:after="0" w:line="269" w:lineRule="auto"/>
      </w:pPr>
      <w:r>
        <w:rPr>
          <w:rFonts w:ascii="Arial" w:hAnsi="Arial"/>
          <w:b w:val="0"/>
          <w:color w:val="000000"/>
          <w:sz w:val="17"/>
        </w:rPr>
        <w:t>Payment currency, payment instructions and the availability of an international settlement route are subject to separate agreement and confirmation by the relevant banks.</w:t>
      </w:r>
    </w:p>
    <w:p>
      <w:r>
        <w:br w:type="page"/>
      </w:r>
    </w:p>
    <w:p>
      <w:pPr>
        <w:pStyle w:val="Heading1"/>
      </w:pPr>
      <w:r>
        <w:t>03 Business Activities and Cooperation</w:t>
      </w:r>
    </w:p>
    <w:p>
      <w:pPr>
        <w:spacing w:after="140" w:line="269" w:lineRule="auto"/>
      </w:pPr>
      <w:r>
        <w:rPr>
          <w:rFonts w:ascii="Arial" w:hAnsi="Arial"/>
          <w:b w:val="0"/>
          <w:color w:val="000000"/>
          <w:sz w:val="21"/>
        </w:rPr>
      </w:r>
      <w:r>
        <w:rPr>
          <w:rFonts w:ascii="Arial" w:hAnsi="Arial"/>
          <w:b/>
          <w:color w:val="000000"/>
          <w:sz w:val="21"/>
        </w:rPr>
        <w:t xml:space="preserve">Principal registered activity OKVED: </w:t>
      </w:r>
      <w:r>
        <w:rPr>
          <w:rFonts w:ascii="Arial" w:hAnsi="Arial"/>
          <w:b w:val="0"/>
          <w:color w:val="000000"/>
          <w:sz w:val="21"/>
        </w:rPr>
        <w:t>47.91.2 — retail trade conducted directly via the Internet</w:t>
      </w:r>
    </w:p>
    <w:p>
      <w:pPr>
        <w:spacing w:after="120" w:line="269" w:lineRule="auto"/>
      </w:pPr>
      <w:r>
        <w:rPr>
          <w:rFonts w:ascii="Arial" w:hAnsi="Arial"/>
          <w:b w:val="0"/>
          <w:color w:val="000000"/>
          <w:sz w:val="21"/>
        </w:rPr>
        <w:t>Dalvori Energy focuses on sourcing propane, butane and propane-butane mixtures, negotiating commercial terms and coordinating logistics in response to buyer enquiries.</w:t>
      </w:r>
    </w:p>
    <w:p>
      <w:pPr>
        <w:spacing w:after="60" w:line="269" w:lineRule="auto"/>
      </w:pPr>
      <w:r>
        <w:rPr>
          <w:rFonts w:ascii="Arial" w:hAnsi="Arial"/>
          <w:b w:val="0"/>
          <w:color w:val="000000"/>
          <w:sz w:val="21"/>
        </w:rPr>
        <w:t>The supplier, product specification, volume, loading port and shipment schedule are agreed for each transaction after the relevant confirmations have been obtained.</w:t>
      </w:r>
    </w:p>
    <w:p>
      <w:pPr>
        <w:pStyle w:val="Heading1"/>
      </w:pPr>
      <w:r>
        <w:t>04 Supply Parameters for Discussion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115" w:type="dxa"/>
          <w:right w:w="115" w:type="dxa"/>
        </w:tblCellMar>
      </w:tblPr>
      <w:tblGrid>
        <w:gridCol w:w="2891"/>
        <w:gridCol w:w="6746"/>
      </w:tblGrid>
      <w:tr>
        <w:trPr>
          <w:cantSplit/>
          <w:tblHeader/>
        </w:trPr>
        <w:tc>
          <w:tcPr>
            <w:tcW w:type="dxa" w:w="2891"/>
            <w:vAlign w:val="center"/>
            <w:shd w:val="clear" w:fill="102232"/>
          </w:tcPr>
          <w:p>
            <w:pPr>
              <w:spacing w:after="0" w:line="252" w:lineRule="auto"/>
            </w:pPr>
            <w:r>
              <w:rPr>
                <w:rFonts w:ascii="Arial" w:hAnsi="Arial"/>
                <w:b/>
                <w:color w:val="FFFFFF"/>
                <w:sz w:val="19"/>
              </w:rPr>
              <w:t>Field</w:t>
            </w:r>
          </w:p>
        </w:tc>
        <w:tc>
          <w:tcPr>
            <w:tcW w:type="dxa" w:w="6746"/>
            <w:vAlign w:val="center"/>
            <w:shd w:val="clear" w:fill="102232"/>
          </w:tcPr>
          <w:p>
            <w:pPr>
              <w:spacing w:after="0" w:line="252" w:lineRule="auto"/>
            </w:pPr>
            <w:r>
              <w:rPr>
                <w:rFonts w:ascii="Arial" w:hAnsi="Arial"/>
                <w:b/>
                <w:color w:val="FFFFFF"/>
                <w:sz w:val="20"/>
              </w:rPr>
              <w:t>Details</w:t>
            </w:r>
          </w:p>
        </w:tc>
      </w:tr>
      <w:tr>
        <w:trPr>
          <w:cantSplit/>
        </w:trPr>
        <w:tc>
          <w:tcPr>
            <w:tcW w:type="dxa" w:w="2891"/>
            <w:vAlign w:val="center"/>
            <w:shd w:val="clear" w:fill="FFFFFF"/>
          </w:tcPr>
          <w:p>
            <w:pPr>
              <w:spacing w:after="0" w:line="252" w:lineRule="auto"/>
            </w:pPr>
            <w:r>
              <w:rPr>
                <w:rFonts w:ascii="Arial" w:hAnsi="Arial"/>
                <w:b w:val="0"/>
                <w:color w:val="000000"/>
                <w:sz w:val="19"/>
              </w:rPr>
              <w:t>Minimum requested parcel</w:t>
            </w:r>
          </w:p>
        </w:tc>
        <w:tc>
          <w:tcPr>
            <w:tcW w:type="dxa" w:w="6746"/>
            <w:vAlign w:val="center"/>
            <w:shd w:val="clear" w:fill="FFFFFF"/>
          </w:tcPr>
          <w:p>
            <w:pPr>
              <w:spacing w:after="0" w:line="252" w:lineRule="auto"/>
            </w:pPr>
            <w:r>
              <w:rPr>
                <w:rFonts w:ascii="Arial" w:hAnsi="Arial"/>
                <w:b w:val="0"/>
                <w:color w:val="000000"/>
                <w:sz w:val="20"/>
              </w:rPr>
              <w:t>10,000 metric tonnes</w:t>
            </w:r>
          </w:p>
        </w:tc>
      </w:tr>
      <w:tr>
        <w:trPr>
          <w:cantSplit/>
        </w:trPr>
        <w:tc>
          <w:tcPr>
            <w:tcW w:type="dxa" w:w="2891"/>
            <w:vAlign w:val="center"/>
            <w:shd w:val="clear" w:fill="F5F2EC"/>
          </w:tcPr>
          <w:p>
            <w:pPr>
              <w:spacing w:after="0" w:line="252" w:lineRule="auto"/>
            </w:pPr>
            <w:r>
              <w:rPr>
                <w:rFonts w:ascii="Arial" w:hAnsi="Arial"/>
                <w:b w:val="0"/>
                <w:color w:val="000000"/>
                <w:sz w:val="19"/>
              </w:rPr>
              <w:t>Regular supply enquiries</w:t>
            </w:r>
          </w:p>
        </w:tc>
        <w:tc>
          <w:tcPr>
            <w:tcW w:type="dxa" w:w="6746"/>
            <w:vAlign w:val="center"/>
            <w:shd w:val="clear" w:fill="F5F2EC"/>
          </w:tcPr>
          <w:p>
            <w:pPr>
              <w:spacing w:after="0" w:line="252" w:lineRule="auto"/>
            </w:pPr>
            <w:r>
              <w:rPr>
                <w:rFonts w:ascii="Arial" w:hAnsi="Arial"/>
                <w:b w:val="0"/>
                <w:color w:val="000000"/>
                <w:sz w:val="20"/>
              </w:rPr>
              <w:t>20,000–40,000 metric tonnes per month or more by agreement</w:t>
            </w:r>
          </w:p>
        </w:tc>
      </w:tr>
      <w:tr>
        <w:trPr>
          <w:cantSplit/>
        </w:trPr>
        <w:tc>
          <w:tcPr>
            <w:tcW w:type="dxa" w:w="2891"/>
            <w:vAlign w:val="center"/>
            <w:shd w:val="clear" w:fill="FFFFFF"/>
          </w:tcPr>
          <w:p>
            <w:pPr>
              <w:spacing w:after="0" w:line="252" w:lineRule="auto"/>
            </w:pPr>
            <w:r>
              <w:rPr>
                <w:rFonts w:ascii="Arial" w:hAnsi="Arial"/>
                <w:b w:val="0"/>
                <w:color w:val="000000"/>
                <w:sz w:val="19"/>
              </w:rPr>
              <w:t>Larger contract programmes</w:t>
            </w:r>
          </w:p>
        </w:tc>
        <w:tc>
          <w:tcPr>
            <w:tcW w:type="dxa" w:w="6746"/>
            <w:vAlign w:val="center"/>
            <w:shd w:val="clear" w:fill="FFFFFF"/>
          </w:tcPr>
          <w:p>
            <w:pPr>
              <w:spacing w:after="0" w:line="252" w:lineRule="auto"/>
            </w:pPr>
            <w:r>
              <w:rPr>
                <w:rFonts w:ascii="Arial" w:hAnsi="Arial"/>
                <w:b w:val="0"/>
                <w:color w:val="000000"/>
                <w:sz w:val="20"/>
              </w:rPr>
              <w:t>Up to 250,000 metric tonnes in separate parcels under an agreed schedule</w:t>
            </w:r>
          </w:p>
        </w:tc>
      </w:tr>
      <w:tr>
        <w:trPr>
          <w:cantSplit/>
        </w:trPr>
        <w:tc>
          <w:tcPr>
            <w:tcW w:type="dxa" w:w="2891"/>
            <w:vAlign w:val="center"/>
            <w:shd w:val="clear" w:fill="F5F2EC"/>
          </w:tcPr>
          <w:p>
            <w:pPr>
              <w:spacing w:after="0" w:line="252" w:lineRule="auto"/>
            </w:pPr>
            <w:r>
              <w:rPr>
                <w:rFonts w:ascii="Arial" w:hAnsi="Arial"/>
                <w:b w:val="0"/>
                <w:color w:val="000000"/>
                <w:sz w:val="19"/>
              </w:rPr>
              <w:t>Delivery basis for discussion</w:t>
            </w:r>
          </w:p>
        </w:tc>
        <w:tc>
          <w:tcPr>
            <w:tcW w:type="dxa" w:w="6746"/>
            <w:vAlign w:val="center"/>
            <w:shd w:val="clear" w:fill="F5F2EC"/>
          </w:tcPr>
          <w:p>
            <w:pPr>
              <w:spacing w:after="0" w:line="252" w:lineRule="auto"/>
            </w:pPr>
            <w:r>
              <w:rPr>
                <w:rFonts w:ascii="Arial" w:hAnsi="Arial"/>
                <w:b w:val="0"/>
                <w:color w:val="000000"/>
                <w:sz w:val="20"/>
              </w:rPr>
              <w:t>FOB an agreed Russian port, Incoterms 2020, with loading onto the buyer’s LPG carrier</w:t>
            </w:r>
          </w:p>
        </w:tc>
      </w:tr>
    </w:tbl>
    <w:p>
      <w:pPr>
        <w:spacing w:after="60" w:before="60" w:line="20" w:lineRule="exact"/>
      </w:pPr>
      <w:r>
        <w:rPr>
          <w:rFonts w:ascii="Arial" w:hAnsi="Arial"/>
          <w:b w:val="0"/>
          <w:color w:val="000000"/>
          <w:sz w:val="2"/>
        </w:rPr>
      </w:r>
    </w:p>
    <w:p>
      <w:pPr>
        <w:spacing w:after="60" w:line="269" w:lineRule="auto"/>
      </w:pPr>
      <w:r>
        <w:rPr>
          <w:rFonts w:ascii="Arial" w:hAnsi="Arial"/>
          <w:b w:val="0"/>
          <w:color w:val="000000"/>
          <w:sz w:val="18"/>
        </w:rPr>
        <w:t>These volumes describe the scope of enquiries considered. Product availability, terminal acceptance, vessel compatibility and loading dates require confirmation by the supplier and terminal. Other delivery arrangements may be discussed separately.</w:t>
      </w:r>
    </w:p>
    <w:p>
      <w:pPr>
        <w:pStyle w:val="Heading1"/>
      </w:pPr>
      <w:r>
        <w:t>05 Commercial Contact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115" w:type="dxa"/>
          <w:right w:w="115" w:type="dxa"/>
        </w:tblCellMar>
      </w:tblPr>
      <w:tblGrid>
        <w:gridCol w:w="2891"/>
        <w:gridCol w:w="6746"/>
      </w:tblGrid>
      <w:tr>
        <w:trPr>
          <w:cantSplit/>
        </w:trPr>
        <w:tc>
          <w:tcPr>
            <w:tcW w:type="dxa" w:w="2891"/>
            <w:vAlign w:val="center"/>
            <w:shd w:val="clear" w:fill="F5F2EC"/>
          </w:tcPr>
          <w:p>
            <w:pPr>
              <w:spacing w:after="0" w:line="252" w:lineRule="auto"/>
            </w:pPr>
            <w:r>
              <w:rPr>
                <w:rFonts w:ascii="Arial" w:hAnsi="Arial"/>
                <w:b w:val="0"/>
                <w:color w:val="000000"/>
                <w:sz w:val="19"/>
              </w:rPr>
              <w:t>Contact person</w:t>
            </w:r>
          </w:p>
        </w:tc>
        <w:tc>
          <w:tcPr>
            <w:tcW w:type="dxa" w:w="6746"/>
            <w:vAlign w:val="center"/>
            <w:shd w:val="clear" w:fill="F5F2EC"/>
          </w:tcPr>
          <w:p>
            <w:pPr>
              <w:spacing w:after="0" w:line="252" w:lineRule="auto"/>
            </w:pPr>
            <w:r>
              <w:rPr>
                <w:rFonts w:ascii="Arial" w:hAnsi="Arial"/>
                <w:b w:val="0"/>
                <w:color w:val="000000"/>
                <w:sz w:val="20"/>
              </w:rPr>
              <w:t>Vladimir Konstantinovich Pilipenko</w:t>
            </w:r>
          </w:p>
        </w:tc>
      </w:tr>
      <w:tr>
        <w:trPr>
          <w:cantSplit/>
        </w:trPr>
        <w:tc>
          <w:tcPr>
            <w:tcW w:type="dxa" w:w="2891"/>
            <w:vAlign w:val="center"/>
            <w:shd w:val="clear" w:fill="FFFFFF"/>
          </w:tcPr>
          <w:p>
            <w:pPr>
              <w:spacing w:after="0" w:line="252" w:lineRule="auto"/>
            </w:pPr>
            <w:r>
              <w:rPr>
                <w:rFonts w:ascii="Arial" w:hAnsi="Arial"/>
                <w:b w:val="0"/>
                <w:color w:val="000000"/>
                <w:sz w:val="19"/>
              </w:rPr>
              <w:t>Role</w:t>
            </w:r>
          </w:p>
        </w:tc>
        <w:tc>
          <w:tcPr>
            <w:tcW w:type="dxa" w:w="6746"/>
            <w:vAlign w:val="center"/>
            <w:shd w:val="clear" w:fill="FFFFFF"/>
          </w:tcPr>
          <w:p>
            <w:pPr>
              <w:spacing w:after="0" w:line="252" w:lineRule="auto"/>
            </w:pPr>
            <w:r>
              <w:rPr>
                <w:rFonts w:ascii="Arial" w:hAnsi="Arial"/>
                <w:b w:val="0"/>
                <w:color w:val="000000"/>
                <w:sz w:val="20"/>
              </w:rPr>
              <w:t>Commercial Representative</w:t>
            </w:r>
          </w:p>
        </w:tc>
      </w:tr>
      <w:tr>
        <w:trPr>
          <w:cantSplit/>
        </w:trPr>
        <w:tc>
          <w:tcPr>
            <w:tcW w:type="dxa" w:w="2891"/>
            <w:vAlign w:val="center"/>
            <w:shd w:val="clear" w:fill="F5F2EC"/>
          </w:tcPr>
          <w:p>
            <w:pPr>
              <w:spacing w:after="0" w:line="252" w:lineRule="auto"/>
            </w:pPr>
            <w:r>
              <w:rPr>
                <w:rFonts w:ascii="Arial" w:hAnsi="Arial"/>
                <w:b w:val="0"/>
                <w:color w:val="000000"/>
                <w:sz w:val="19"/>
              </w:rPr>
              <w:t>Direct email</w:t>
            </w:r>
          </w:p>
        </w:tc>
        <w:tc>
          <w:tcPr>
            <w:tcW w:type="dxa" w:w="6746"/>
            <w:vAlign w:val="center"/>
            <w:shd w:val="clear" w:fill="F5F2EC"/>
          </w:tcPr>
          <w:p>
            <w:pPr>
              <w:spacing w:after="0" w:line="252" w:lineRule="auto"/>
            </w:pPr>
            <w:r>
              <w:rPr>
                <w:rFonts w:ascii="Arial" w:hAnsi="Arial"/>
                <w:b w:val="0"/>
                <w:color w:val="000000"/>
                <w:sz w:val="20"/>
              </w:rPr>
              <w:t>karychwork@gmail.com</w:t>
            </w:r>
          </w:p>
        </w:tc>
      </w:tr>
      <w:tr>
        <w:trPr>
          <w:cantSplit/>
        </w:trPr>
        <w:tc>
          <w:tcPr>
            <w:tcW w:type="dxa" w:w="2891"/>
            <w:vAlign w:val="center"/>
            <w:shd w:val="clear" w:fill="FFFFFF"/>
          </w:tcPr>
          <w:p>
            <w:pPr>
              <w:spacing w:after="0" w:line="252" w:lineRule="auto"/>
            </w:pPr>
            <w:r>
              <w:rPr>
                <w:rFonts w:ascii="Arial" w:hAnsi="Arial"/>
                <w:b w:val="0"/>
                <w:color w:val="000000"/>
                <w:sz w:val="19"/>
              </w:rPr>
              <w:t>Corporate email</w:t>
            </w:r>
          </w:p>
        </w:tc>
        <w:tc>
          <w:tcPr>
            <w:tcW w:type="dxa" w:w="6746"/>
            <w:vAlign w:val="center"/>
            <w:shd w:val="clear" w:fill="FFFFFF"/>
          </w:tcPr>
          <w:p>
            <w:pPr>
              <w:spacing w:after="0" w:line="252" w:lineRule="auto"/>
            </w:pPr>
            <w:r>
              <w:rPr>
                <w:rFonts w:ascii="Arial" w:hAnsi="Arial"/>
                <w:b w:val="0"/>
                <w:color w:val="000000"/>
                <w:sz w:val="20"/>
              </w:rPr>
              <w:t>sales@dalvori-energy.com</w:t>
            </w:r>
          </w:p>
        </w:tc>
      </w:tr>
      <w:tr>
        <w:trPr>
          <w:cantSplit/>
        </w:trPr>
        <w:tc>
          <w:tcPr>
            <w:tcW w:type="dxa" w:w="2891"/>
            <w:vAlign w:val="center"/>
            <w:shd w:val="clear" w:fill="F5F2EC"/>
          </w:tcPr>
          <w:p>
            <w:pPr>
              <w:spacing w:after="0" w:line="252" w:lineRule="auto"/>
            </w:pPr>
            <w:r>
              <w:rPr>
                <w:rFonts w:ascii="Arial" w:hAnsi="Arial"/>
                <w:b w:val="0"/>
                <w:color w:val="000000"/>
                <w:sz w:val="19"/>
              </w:rPr>
              <w:t>Website</w:t>
            </w:r>
          </w:p>
        </w:tc>
        <w:tc>
          <w:tcPr>
            <w:tcW w:type="dxa" w:w="6746"/>
            <w:vAlign w:val="center"/>
            <w:shd w:val="clear" w:fill="F5F2EC"/>
          </w:tcPr>
          <w:p>
            <w:pPr>
              <w:spacing w:after="0" w:line="252" w:lineRule="auto"/>
            </w:pPr>
            <w:r>
              <w:rPr>
                <w:rFonts w:ascii="Arial" w:hAnsi="Arial"/>
                <w:b w:val="0"/>
                <w:color w:val="000000"/>
                <w:sz w:val="20"/>
              </w:rPr>
              <w:t>https://dalvori-energy.com</w:t>
            </w:r>
          </w:p>
        </w:tc>
      </w:tr>
    </w:tbl>
    <w:p>
      <w:pPr>
        <w:spacing w:after="60" w:before="60" w:line="20" w:lineRule="exact"/>
      </w:pPr>
      <w:r>
        <w:rPr>
          <w:rFonts w:ascii="Arial" w:hAnsi="Arial"/>
          <w:b w:val="0"/>
          <w:color w:val="000000"/>
          <w:sz w:val="2"/>
        </w:rPr>
      </w:r>
    </w:p>
    <w:sectPr w:rsidR="00FC693F" w:rsidRPr="0006063C" w:rsidSect="00034616">
      <w:headerReference w:type="default" r:id="rId9"/>
      <w:footerReference w:type="default" r:id="rId10"/>
      <w:pgSz w:w="11906" w:h="16838"/>
      <w:pgMar w:top="1814" w:right="1134" w:bottom="1276" w:left="1134" w:header="510"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80"/>
      <w:pBdr>
        <w:top w:val="single" w:sz="10" w:space="10" w:color="B9825C"/>
      </w:pBdr>
    </w:pPr>
    <w:r>
      <w:rPr>
        <w:rFonts w:ascii="Arial" w:hAnsi="Arial"/>
        <w:b/>
        <w:color w:val="000000"/>
        <w:sz w:val="17"/>
      </w:rPr>
      <w:t>DALVORI ENERGY</w:t>
    </w:r>
    <w:r>
      <w:rPr>
        <w:rFonts w:ascii="Arial" w:hAnsi="Arial"/>
        <w:b w:val="0"/>
        <w:color w:val="000000"/>
        <w:sz w:val="17"/>
      </w:rPr>
      <w:t xml:space="preserve">    INN 504039600378</w:t>
      <w:tab/>
    </w:r>
    <w:fldSimple w:instr="PAGE">
      <w:r>
        <w:rPr>
          <w:sz w:val="17"/>
        </w:rPr>
        <w:t>1</w:t>
      </w:r>
    </w:fldSimple>
    <w:r>
      <w:rPr>
        <w:rFonts w:ascii="Arial" w:hAnsi="Arial"/>
        <w:b w:val="0"/>
        <w:color w:val="000000"/>
        <w:sz w:val="17"/>
      </w:rPr>
      <w:t xml:space="preserve"> / </w:t>
    </w:r>
    <w:fldSimple w:instr="NUMPAGES">
      <w:r>
        <w:rPr>
          <w:sz w:val="17"/>
        </w:rPr>
        <w:t>1</w:t>
      </w:r>
    </w:fldSimple>
  </w:p>
  <w:p>
    <w:pPr>
      <w:spacing w:after="0"/>
    </w:pPr>
    <w:hyperlink r:id="rId1">
      <w:r>
        <w:rPr>
          <w:rFonts w:ascii="Arial" w:hAnsi="Arial"/>
          <w:sz w:val="16"/>
          <w:color w:val="000000"/>
        </w:rPr>
        <w:t>sales@dalvori-energy.com</w:t>
      </w:r>
    </w:hyperlink>
  </w:p>
  <w:p>
    <w:pPr>
      <w:spacing w:after="0"/>
    </w:pPr>
    <w:hyperlink r:id="rId2">
      <w:r>
        <w:rPr>
          <w:rFonts w:ascii="Arial" w:hAnsi="Arial"/>
          <w:sz w:val="16"/>
          <w:color w:val="000000"/>
        </w:rPr>
        <w:t>dalvori-energy.com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line="240" w:lineRule="auto"/>
    </w:pPr>
    <w:r>
      <w:drawing>
        <wp:inline xmlns:a="http://schemas.openxmlformats.org/drawingml/2006/main" xmlns:pic="http://schemas.openxmlformats.org/drawingml/2006/picture">
          <wp:extent cx="2340000" cy="618113"/>
          <wp:docPr id="1" name="Picture 1"/>
          <wp:cNvGraphicFramePr>
            <a:graphicFrameLocks noChangeAspect="1"/>
          </wp:cNvGraphicFramePr>
          <a:graphic>
            <a:graphicData uri="http://schemas.openxmlformats.org/drawingml/2006/picture">
              <pic:pic>
                <pic:nvPicPr>
                  <pic:cNvPr id="0" name="dalvori-logo.png"/>
                  <pic:cNvPicPr/>
                </pic:nvPicPr>
                <pic:blipFill>
                  <a:blip r:embed="rId1"/>
                  <a:stretch>
                    <a:fillRect/>
                  </a:stretch>
                </pic:blipFill>
                <pic:spPr>
                  <a:xfrm>
                    <a:off x="0" y="0"/>
                    <a:ext cx="2340000" cy="61811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Arial" w:hAnsi="Arial" w:cs="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120" w:line="269" w:lineRule="auto"/>
    </w:pPr>
    <w:rPr>
      <w:rFonts w:ascii="Arial" w:hAnsi="Arial" w:cs="Arial" w:eastAsia="Arial"/>
      <w:color w:val="000000"/>
      <w:sz w:val="21"/>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269" w:lineRule="auto"/>
    </w:pPr>
    <w:rPr>
      <w:rFonts w:ascii="Arial" w:hAnsi="Arial" w:cs="Arial" w:eastAsia="Arial"/>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69" w:lineRule="auto"/>
      <w:outlineLvl w:val="0"/>
    </w:pPr>
    <w:rPr>
      <w:rFonts w:asciiTheme="majorHAnsi" w:eastAsiaTheme="majorEastAsia" w:hAnsiTheme="majorHAnsi" w:cstheme="majorBidi" w:ascii="Arial" w:hAnsi="Arial" w:cs="Arial" w:eastAsia="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20" w:line="269" w:lineRule="auto"/>
      <w:outlineLvl w:val="1"/>
    </w:pPr>
    <w:rPr>
      <w:rFonts w:asciiTheme="majorHAnsi" w:eastAsiaTheme="majorEastAsia" w:hAnsiTheme="majorHAnsi" w:cstheme="majorBidi" w:ascii="Arial" w:hAnsi="Arial" w:cs="Arial" w:eastAsia="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5" w:lineRule="auto"/>
      <w:contextualSpacing/>
    </w:pPr>
    <w:rPr>
      <w:rFonts w:asciiTheme="majorHAnsi" w:eastAsiaTheme="majorEastAsia" w:hAnsiTheme="majorHAnsi" w:cstheme="majorBidi" w:ascii="Georgia" w:hAnsi="Georgia" w:cs="Arial" w:eastAsia="Arial"/>
      <w:b w:val="0"/>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69" w:lineRule="auto" w:after="120"/>
    </w:pPr>
    <w:rPr>
      <w:rFonts w:asciiTheme="majorHAnsi" w:eastAsiaTheme="majorEastAsia" w:hAnsiTheme="majorHAnsi" w:cstheme="majorBidi" w:ascii="Arial" w:hAnsi="Arial" w:cs="Arial" w:eastAsia="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ales@dalvori-energy.com" TargetMode="External"/><Relationship Id="rId2" Type="http://schemas.openxmlformats.org/officeDocument/2006/relationships/hyperlink" Target="https://dalvori-energ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Dalvori Energy Counterparty Profile EN</dc:title>
  <dc:subject/>
  <dc:creator>Dalvori Energy</dc:creator>
  <cp:keywords/>
  <dc:description>generated by python-docx</dc:description>
  <cp:lastModifiedBy/>
  <cp:revision>1</cp:revision>
  <dcterms:created xsi:type="dcterms:W3CDTF">2026-10-24T08:00:00Z</dcterms:created>
  <dcterms:modified xsi:type="dcterms:W3CDTF">2026-10-24T08:00:00Z</dcterms:modified>
  <cp:category/>
  <dc:language>en-GB</dc:language>
</cp:coreProperties>
</file>