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9638" w:val="right"/>
        </w:tabs>
        <w:spacing w:after="160" w:line="269" w:lineRule="auto"/>
      </w:pPr>
      <w:r>
        <w:rPr>
          <w:rFonts w:ascii="Arial" w:hAnsi="Arial"/>
          <w:b w:val="0"/>
          <w:color w:val="000000"/>
          <w:sz w:val="18"/>
        </w:rPr>
      </w:r>
      <w:r>
        <w:rPr>
          <w:rFonts w:ascii="Arial" w:hAnsi="Arial"/>
          <w:b/>
          <w:color w:val="000000"/>
          <w:sz w:val="18"/>
        </w:rPr>
        <w:t>СВЕДЕНИЯ ДЛЯ ПАРТНЁРОВ</w:t>
      </w:r>
      <w:r>
        <w:rPr>
          <w:rFonts w:ascii="Arial" w:hAnsi="Arial"/>
          <w:b w:val="0"/>
          <w:color w:val="000000"/>
          <w:sz w:val="18"/>
        </w:rPr>
        <w:tab/>
        <w:t>24 ОКТЯБРЯ 2026</w:t>
      </w:r>
    </w:p>
    <w:p>
      <w:pPr>
        <w:pStyle w:val="Title"/>
      </w:pPr>
      <w:r>
        <w:rPr>
          <w:rFonts w:ascii="Georgia" w:hAnsi="Georgia"/>
          <w:b w:val="0"/>
          <w:color w:val="000000"/>
          <w:sz w:val="52"/>
        </w:rPr>
        <w:t>Сведения о контрагенте</w:t>
      </w:r>
    </w:p>
    <w:p>
      <w:pPr>
        <w:spacing w:after="100" w:line="269" w:lineRule="auto"/>
      </w:pPr>
      <w:r>
        <w:rPr>
          <w:rFonts w:ascii="Arial" w:hAnsi="Arial"/>
          <w:b w:val="0"/>
          <w:color w:val="000000"/>
          <w:sz w:val="21"/>
        </w:rPr>
        <w:t>Dalvori Energy развивает проекты поставок СУГ российского происхождения. В документе представлены сведения о деятельности, регистрационные и банковские реквизиты стороны договора и контакты для коммерческих переговоров.</w:t>
      </w:r>
    </w:p>
    <w:p>
      <w:pPr>
        <w:pStyle w:val="Heading1"/>
      </w:pPr>
      <w:r>
        <w:t>01 Регистрация и идентификация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5" w:type="dxa"/>
          <w:bottom w:w="65" w:type="dxa"/>
          <w:left w:w="115" w:type="dxa"/>
          <w:right w:w="115" w:type="dxa"/>
        </w:tblCellMar>
      </w:tblPr>
      <w:tblGrid>
        <w:gridCol w:w="2891"/>
        <w:gridCol w:w="6746"/>
      </w:tblGrid>
      <w:tr>
        <w:trPr>
          <w:cantSplit/>
          <w:tblHeader/>
        </w:trPr>
        <w:tc>
          <w:tcPr>
            <w:tcW w:type="dxa" w:w="2891"/>
            <w:vAlign w:val="center"/>
            <w:shd w:val="clear" w:fill="10223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Реквизит</w:t>
            </w:r>
          </w:p>
        </w:tc>
        <w:tc>
          <w:tcPr>
            <w:tcW w:type="dxa" w:w="6746"/>
            <w:vAlign w:val="center"/>
            <w:shd w:val="clear" w:fill="10223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Сведения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Торговое наименование</w:t>
            </w:r>
          </w:p>
        </w:tc>
        <w:tc>
          <w:tcPr>
            <w:tcW w:type="dxa" w:w="6746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Dalvori Energy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Сторона договора</w:t>
            </w:r>
          </w:p>
        </w:tc>
        <w:tc>
          <w:tcPr>
            <w:tcW w:type="dxa" w:w="6746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Индивидуальный предприниматель Сорокин Даниил Евгеньевич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Страна регистрации</w:t>
            </w:r>
          </w:p>
        </w:tc>
        <w:tc>
          <w:tcPr>
            <w:tcW w:type="dxa" w:w="6746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Российская Федерация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Дата регистрации</w:t>
            </w:r>
          </w:p>
        </w:tc>
        <w:tc>
          <w:tcPr>
            <w:tcW w:type="dxa" w:w="6746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 июля 2026 года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ИНН / ОГРНИП</w:t>
            </w:r>
          </w:p>
        </w:tc>
        <w:tc>
          <w:tcPr>
            <w:tcW w:type="dxa" w:w="6746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504039600378 / 326508100391842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Регистрирующий орган</w:t>
            </w:r>
          </w:p>
        </w:tc>
        <w:tc>
          <w:tcPr>
            <w:tcW w:type="dxa" w:w="6746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Межрайонная инспекция ФНС России № 23 по Московской области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Налоговый орган</w:t>
            </w:r>
          </w:p>
        </w:tc>
        <w:tc>
          <w:tcPr>
            <w:tcW w:type="dxa" w:w="6746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Межрайонная инспекция ФНС России № 7 по Московской области</w:t>
            </w:r>
          </w:p>
        </w:tc>
      </w:tr>
    </w:tbl>
    <w:p>
      <w:pPr>
        <w:spacing w:after="60" w:before="60" w:line="20" w:lineRule="exact"/>
      </w:pPr>
      <w:r>
        <w:rPr>
          <w:rFonts w:ascii="Arial" w:hAnsi="Arial"/>
          <w:b w:val="0"/>
          <w:color w:val="000000"/>
          <w:sz w:val="2"/>
        </w:rPr>
      </w:r>
    </w:p>
    <w:p>
      <w:pPr>
        <w:pStyle w:val="Heading1"/>
      </w:pPr>
      <w:r>
        <w:t>02 Банковские реквизиты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5" w:type="dxa"/>
          <w:bottom w:w="65" w:type="dxa"/>
          <w:left w:w="115" w:type="dxa"/>
          <w:right w:w="115" w:type="dxa"/>
        </w:tblCellMar>
      </w:tblPr>
      <w:tblGrid>
        <w:gridCol w:w="2891"/>
        <w:gridCol w:w="6746"/>
      </w:tblGrid>
      <w:tr>
        <w:trPr>
          <w:cantSplit/>
          <w:tblHeader/>
        </w:trPr>
        <w:tc>
          <w:tcPr>
            <w:tcW w:type="dxa" w:w="2891"/>
            <w:vAlign w:val="center"/>
            <w:shd w:val="clear" w:fill="10223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Реквизит</w:t>
            </w:r>
          </w:p>
        </w:tc>
        <w:tc>
          <w:tcPr>
            <w:tcW w:type="dxa" w:w="6746"/>
            <w:vAlign w:val="center"/>
            <w:shd w:val="clear" w:fill="10223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Сведения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Получатель</w:t>
            </w:r>
          </w:p>
        </w:tc>
        <w:tc>
          <w:tcPr>
            <w:tcW w:type="dxa" w:w="6746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Сторона договора, указанная в разделе 01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Банк</w:t>
            </w:r>
          </w:p>
        </w:tc>
        <w:tc>
          <w:tcPr>
            <w:tcW w:type="dxa" w:w="6746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ПАО Сбербанк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Расчётный счёт</w:t>
            </w:r>
          </w:p>
        </w:tc>
        <w:tc>
          <w:tcPr>
            <w:tcW w:type="dxa" w:w="6746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40802810240070054905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БИК банка</w:t>
            </w:r>
          </w:p>
        </w:tc>
        <w:tc>
          <w:tcPr>
            <w:tcW w:type="dxa" w:w="6746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044525225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Корреспондентский счёт</w:t>
            </w:r>
          </w:p>
        </w:tc>
        <w:tc>
          <w:tcPr>
            <w:tcW w:type="dxa" w:w="6746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30101810400000000225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ИНН / КПП банка</w:t>
            </w:r>
          </w:p>
        </w:tc>
        <w:tc>
          <w:tcPr>
            <w:tcW w:type="dxa" w:w="6746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7707083893 / 773643002</w:t>
            </w:r>
          </w:p>
        </w:tc>
      </w:tr>
    </w:tbl>
    <w:p>
      <w:pPr>
        <w:spacing w:after="60" w:before="60" w:line="20" w:lineRule="exact"/>
      </w:pPr>
      <w:r>
        <w:rPr>
          <w:rFonts w:ascii="Arial" w:hAnsi="Arial"/>
          <w:b w:val="0"/>
          <w:color w:val="000000"/>
          <w:sz w:val="2"/>
        </w:rPr>
      </w:r>
    </w:p>
    <w:p>
      <w:pPr>
        <w:spacing w:after="0" w:line="269" w:lineRule="auto"/>
      </w:pPr>
      <w:r>
        <w:rPr>
          <w:rFonts w:ascii="Arial" w:hAnsi="Arial"/>
          <w:b w:val="0"/>
          <w:color w:val="000000"/>
          <w:sz w:val="17"/>
        </w:rPr>
        <w:t>Валюта, платёжные инструкции и возможность проведения международного платежа согласовываются отдельно с участием обслуживающих банков.</w:t>
      </w:r>
    </w:p>
    <w:p>
      <w:r>
        <w:br w:type="page"/>
      </w:r>
    </w:p>
    <w:p>
      <w:pPr>
        <w:pStyle w:val="Heading1"/>
      </w:pPr>
      <w:r>
        <w:t>03 Деятельность и сотрудничество</w:t>
      </w:r>
    </w:p>
    <w:p>
      <w:pPr>
        <w:spacing w:after="140" w:line="269" w:lineRule="auto"/>
      </w:pPr>
      <w:r>
        <w:rPr>
          <w:rFonts w:ascii="Arial" w:hAnsi="Arial"/>
          <w:b w:val="0"/>
          <w:color w:val="000000"/>
          <w:sz w:val="21"/>
        </w:rPr>
      </w:r>
      <w:r>
        <w:rPr>
          <w:rFonts w:ascii="Arial" w:hAnsi="Arial"/>
          <w:b/>
          <w:color w:val="000000"/>
          <w:sz w:val="21"/>
        </w:rPr>
        <w:t xml:space="preserve">Основной ОКВЭД по ЕГРИП: </w:t>
      </w:r>
      <w:r>
        <w:rPr>
          <w:rFonts w:ascii="Arial" w:hAnsi="Arial"/>
          <w:b w:val="0"/>
          <w:color w:val="000000"/>
          <w:sz w:val="21"/>
        </w:rPr>
        <w:t>47.91.2 — торговля розничная, осуществляемая непосредственно при помощи информационно-коммуникационной сети Интернет</w:t>
      </w:r>
    </w:p>
    <w:p>
      <w:pPr>
        <w:spacing w:after="120" w:line="269" w:lineRule="auto"/>
      </w:pPr>
      <w:r>
        <w:rPr>
          <w:rFonts w:ascii="Arial" w:hAnsi="Arial"/>
          <w:b w:val="0"/>
          <w:color w:val="000000"/>
          <w:sz w:val="21"/>
        </w:rPr>
        <w:t>Направления работы Dalvori Energy: поиск поставщиков пропана, бутана и пропан-бутановых смесей, согласование коммерческих условий и координация логистики по запросам покупателей.</w:t>
      </w:r>
    </w:p>
    <w:p>
      <w:pPr>
        <w:spacing w:after="60" w:line="269" w:lineRule="auto"/>
      </w:pPr>
      <w:r>
        <w:rPr>
          <w:rFonts w:ascii="Arial" w:hAnsi="Arial"/>
          <w:b w:val="0"/>
          <w:color w:val="000000"/>
          <w:sz w:val="21"/>
        </w:rPr>
        <w:t>Поставщик, спецификация продукта, объём, порт и график отгрузки определяются для каждой сделки после получения необходимых подтверждений.</w:t>
      </w:r>
    </w:p>
    <w:p>
      <w:pPr>
        <w:pStyle w:val="Heading1"/>
      </w:pPr>
      <w:r>
        <w:t>04 Параметры рассматриваемых поставок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5" w:type="dxa"/>
          <w:bottom w:w="65" w:type="dxa"/>
          <w:left w:w="115" w:type="dxa"/>
          <w:right w:w="115" w:type="dxa"/>
        </w:tblCellMar>
      </w:tblPr>
      <w:tblGrid>
        <w:gridCol w:w="2891"/>
        <w:gridCol w:w="6746"/>
      </w:tblGrid>
      <w:tr>
        <w:trPr>
          <w:cantSplit/>
          <w:tblHeader/>
        </w:trPr>
        <w:tc>
          <w:tcPr>
            <w:tcW w:type="dxa" w:w="2891"/>
            <w:vAlign w:val="center"/>
            <w:shd w:val="clear" w:fill="10223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Реквизит</w:t>
            </w:r>
          </w:p>
        </w:tc>
        <w:tc>
          <w:tcPr>
            <w:tcW w:type="dxa" w:w="6746"/>
            <w:vAlign w:val="center"/>
            <w:shd w:val="clear" w:fill="10223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Сведения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Минимальная партия</w:t>
            </w:r>
          </w:p>
        </w:tc>
        <w:tc>
          <w:tcPr>
            <w:tcW w:type="dxa" w:w="6746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10 000 метрических тонн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Регулярные запросы</w:t>
            </w:r>
          </w:p>
        </w:tc>
        <w:tc>
          <w:tcPr>
            <w:tcW w:type="dxa" w:w="6746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20 000–40 000 метрических тонн в месяц и более по согласованию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Контрактные программы</w:t>
            </w:r>
          </w:p>
        </w:tc>
        <w:tc>
          <w:tcPr>
            <w:tcW w:type="dxa" w:w="6746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До 250 000 метрических тонн отдельными партиями по согласованному графику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Базис для проработки</w:t>
            </w:r>
          </w:p>
        </w:tc>
        <w:tc>
          <w:tcPr>
            <w:tcW w:type="dxa" w:w="6746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FOB согласованный российский порт, Incoterms 2020, с погрузкой на газовоз покупателя</w:t>
            </w:r>
          </w:p>
        </w:tc>
      </w:tr>
    </w:tbl>
    <w:p>
      <w:pPr>
        <w:spacing w:after="60" w:before="60" w:line="20" w:lineRule="exact"/>
      </w:pPr>
      <w:r>
        <w:rPr>
          <w:rFonts w:ascii="Arial" w:hAnsi="Arial"/>
          <w:b w:val="0"/>
          <w:color w:val="000000"/>
          <w:sz w:val="2"/>
        </w:rPr>
      </w:r>
    </w:p>
    <w:p>
      <w:pPr>
        <w:spacing w:after="60" w:line="269" w:lineRule="auto"/>
      </w:pPr>
      <w:r>
        <w:rPr>
          <w:rFonts w:ascii="Arial" w:hAnsi="Arial"/>
          <w:b w:val="0"/>
          <w:color w:val="000000"/>
          <w:sz w:val="18"/>
        </w:rPr>
        <w:t>Объёмы являются параметрами рассматриваемых запросов. Наличие продукта, возможность перевалки, совместимость газовоза и сроки погрузки подтверждаются поставщиком и терминалом. Другие условия поставки обсуждаются отдельно.</w:t>
      </w:r>
    </w:p>
    <w:p>
      <w:pPr>
        <w:pStyle w:val="Heading1"/>
      </w:pPr>
      <w:r>
        <w:t>05 Контакты для переговоров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5" w:type="dxa"/>
          <w:bottom w:w="65" w:type="dxa"/>
          <w:left w:w="115" w:type="dxa"/>
          <w:right w:w="115" w:type="dxa"/>
        </w:tblCellMar>
      </w:tblPr>
      <w:tblGrid>
        <w:gridCol w:w="2891"/>
        <w:gridCol w:w="6746"/>
      </w:tblGrid>
      <w:tr>
        <w:trPr>
          <w:cantSplit/>
        </w:trPr>
        <w:tc>
          <w:tcPr>
            <w:tcW w:type="dxa" w:w="2891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Контактное лицо</w:t>
            </w:r>
          </w:p>
        </w:tc>
        <w:tc>
          <w:tcPr>
            <w:tcW w:type="dxa" w:w="6746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Пилипенко Владимир Константинович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Роль</w:t>
            </w:r>
          </w:p>
        </w:tc>
        <w:tc>
          <w:tcPr>
            <w:tcW w:type="dxa" w:w="6746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Коммерческий представитель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Личная деловая почта</w:t>
            </w:r>
          </w:p>
        </w:tc>
        <w:tc>
          <w:tcPr>
            <w:tcW w:type="dxa" w:w="6746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karychwork@gmail.com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Корпоративная почта</w:t>
            </w:r>
          </w:p>
        </w:tc>
        <w:tc>
          <w:tcPr>
            <w:tcW w:type="dxa" w:w="6746"/>
            <w:vAlign w:val="center"/>
            <w:shd w:val="clear" w:fill="FFFFFF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sales@dalvori-energy.com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Сайт</w:t>
            </w:r>
          </w:p>
        </w:tc>
        <w:tc>
          <w:tcPr>
            <w:tcW w:type="dxa" w:w="6746"/>
            <w:vAlign w:val="center"/>
            <w:shd w:val="clear" w:fill="F5F2EC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https://dalvori-energy.com</w:t>
            </w:r>
          </w:p>
        </w:tc>
      </w:tr>
    </w:tbl>
    <w:p>
      <w:pPr>
        <w:spacing w:after="60" w:before="60" w:line="20" w:lineRule="exact"/>
      </w:pPr>
      <w:r>
        <w:rPr>
          <w:rFonts w:ascii="Arial" w:hAnsi="Arial"/>
          <w:b w:val="0"/>
          <w:color w:val="00000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814" w:right="1134" w:bottom="1276" w:left="1134" w:header="510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80"/>
      <w:pBdr>
        <w:top w:val="single" w:sz="10" w:space="10" w:color="B9825C"/>
      </w:pBdr>
    </w:pPr>
    <w:r>
      <w:rPr>
        <w:rFonts w:ascii="Arial" w:hAnsi="Arial"/>
        <w:b/>
        <w:color w:val="000000"/>
        <w:sz w:val="17"/>
      </w:rPr>
      <w:t>DALVORI ENERGY</w:t>
    </w:r>
    <w:r>
      <w:rPr>
        <w:rFonts w:ascii="Arial" w:hAnsi="Arial"/>
        <w:b w:val="0"/>
        <w:color w:val="000000"/>
        <w:sz w:val="17"/>
      </w:rPr>
      <w:t xml:space="preserve">    ИНН 504039600378</w:t>
      <w:tab/>
    </w:r>
    <w:fldSimple w:instr="PAGE">
      <w:r>
        <w:rPr>
          <w:sz w:val="17"/>
        </w:rPr>
        <w:t>1</w:t>
      </w:r>
    </w:fldSimple>
    <w:r>
      <w:rPr>
        <w:rFonts w:ascii="Arial" w:hAnsi="Arial"/>
        <w:b w:val="0"/>
        <w:color w:val="000000"/>
        <w:sz w:val="17"/>
      </w:rPr>
      <w:t xml:space="preserve"> / </w:t>
    </w:r>
    <w:fldSimple w:instr="NUMPAGES">
      <w:r>
        <w:rPr>
          <w:sz w:val="17"/>
        </w:rPr>
        <w:t>1</w:t>
      </w:r>
    </w:fldSimple>
  </w:p>
  <w:p>
    <w:pPr>
      <w:spacing w:after="0"/>
    </w:pPr>
    <w:hyperlink r:id="rId1">
      <w:r>
        <w:rPr>
          <w:rFonts w:ascii="Arial" w:hAnsi="Arial"/>
          <w:sz w:val="16"/>
          <w:color w:val="000000"/>
        </w:rPr>
        <w:t>sales@dalvori-energy.com</w:t>
      </w:r>
    </w:hyperlink>
  </w:p>
  <w:p>
    <w:pPr>
      <w:spacing w:after="0"/>
    </w:pPr>
    <w:hyperlink r:id="rId2">
      <w:r>
        <w:rPr>
          <w:rFonts w:ascii="Arial" w:hAnsi="Arial"/>
          <w:sz w:val="16"/>
          <w:color w:val="000000"/>
        </w:rPr>
        <w:t>dalvori-energy.com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 w:line="240" w:lineRule="auto"/>
    </w:pPr>
    <w:r>
      <w:drawing>
        <wp:inline xmlns:a="http://schemas.openxmlformats.org/drawingml/2006/main" xmlns:pic="http://schemas.openxmlformats.org/drawingml/2006/picture">
          <wp:extent cx="2340000" cy="61811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alvori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40000" cy="61811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20"/>
    </w:pPr>
    <w:rPr>
      <w:rFonts w:ascii="Arial" w:hAnsi="Arial" w:cs="Arial" w:eastAsia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20" w:line="269" w:lineRule="auto"/>
    </w:pPr>
    <w:rPr>
      <w:rFonts w:ascii="Arial" w:hAnsi="Arial" w:cs="Arial" w:eastAsia="Arial"/>
      <w:color w:val="000000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20" w:line="269" w:lineRule="auto"/>
    </w:pPr>
    <w:rPr>
      <w:rFonts w:ascii="Arial" w:hAnsi="Arial" w:cs="Arial" w:eastAsia="Arial"/>
      <w:color w:val="000000"/>
      <w:sz w:val="21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 w:line="269" w:lineRule="auto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5" w:lineRule="auto"/>
      <w:contextualSpacing/>
    </w:pPr>
    <w:rPr>
      <w:rFonts w:asciiTheme="majorHAnsi" w:eastAsiaTheme="majorEastAsia" w:hAnsiTheme="majorHAnsi" w:cstheme="majorBidi" w:ascii="Georgia" w:hAnsi="Georgia" w:cs="Arial" w:eastAsia="Arial"/>
      <w:b w:val="0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20"/>
    </w:pPr>
    <w:rPr>
      <w:rFonts w:asciiTheme="majorHAnsi" w:eastAsiaTheme="majorEastAsia" w:hAnsiTheme="majorHAnsi" w:cstheme="majorBidi" w:ascii="Arial" w:hAnsi="Arial" w:cs="Arial" w:eastAsia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sales@dalvori-energy.com" TargetMode="External"/><Relationship Id="rId2" Type="http://schemas.openxmlformats.org/officeDocument/2006/relationships/hyperlink" Target="https://dalvori-energ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Dalvori Energy Counterparty Profile RU</dc:title>
  <dc:subject/>
  <dc:creator>Dalvori Energy</dc:creator>
  <cp:keywords/>
  <dc:description>generated by python-docx</dc:description>
  <cp:lastModifiedBy/>
  <cp:revision>1</cp:revision>
  <dcterms:created xsi:type="dcterms:W3CDTF">2026-10-24T08:00:00Z</dcterms:created>
  <dcterms:modified xsi:type="dcterms:W3CDTF">2026-10-24T08:00:00Z</dcterms:modified>
  <cp:category/>
  <dc:language>ru-RU</dc:language>
</cp:coreProperties>
</file>